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6FE" w:rsidRDefault="002826FE" w:rsidP="00A52AE9">
      <w:pPr>
        <w:jc w:val="center"/>
      </w:pPr>
    </w:p>
    <w:p w:rsidR="002826FE" w:rsidRDefault="002826FE" w:rsidP="00A52AE9">
      <w:pPr>
        <w:jc w:val="center"/>
      </w:pPr>
    </w:p>
    <w:p w:rsidR="002826FE" w:rsidRDefault="002826FE" w:rsidP="00A52AE9">
      <w:pPr>
        <w:jc w:val="center"/>
      </w:pPr>
    </w:p>
    <w:p w:rsidR="002826FE" w:rsidRDefault="002826FE" w:rsidP="00A52AE9">
      <w:pPr>
        <w:jc w:val="center"/>
      </w:pPr>
    </w:p>
    <w:p w:rsidR="00A47BDB" w:rsidRDefault="00A47BDB" w:rsidP="00A52AE9">
      <w:pPr>
        <w:jc w:val="center"/>
      </w:pPr>
    </w:p>
    <w:p w:rsidR="00A47BDB" w:rsidRDefault="00A47BDB" w:rsidP="00A52AE9">
      <w:pPr>
        <w:jc w:val="center"/>
      </w:pPr>
    </w:p>
    <w:p w:rsidR="002826FE" w:rsidRDefault="002826FE" w:rsidP="00A52AE9">
      <w:pPr>
        <w:jc w:val="center"/>
      </w:pPr>
    </w:p>
    <w:p w:rsidR="004B1253" w:rsidRDefault="0022019F" w:rsidP="00A52AE9">
      <w:pPr>
        <w:jc w:val="center"/>
      </w:pPr>
      <w:r>
        <w:t>Wound Pattern Analysis</w:t>
      </w:r>
    </w:p>
    <w:p w:rsidR="00A52AE9" w:rsidRDefault="00A52AE9" w:rsidP="00A52AE9">
      <w:pPr>
        <w:jc w:val="center"/>
      </w:pPr>
      <w:r>
        <w:t>Name</w:t>
      </w:r>
    </w:p>
    <w:p w:rsidR="00A52AE9" w:rsidRDefault="00A52AE9" w:rsidP="00A52AE9">
      <w:pPr>
        <w:jc w:val="center"/>
      </w:pPr>
      <w:r>
        <w:t>Institution</w:t>
      </w:r>
    </w:p>
    <w:p w:rsidR="00A52AE9" w:rsidRDefault="00A52AE9" w:rsidP="00A52AE9">
      <w:pPr>
        <w:jc w:val="center"/>
      </w:pPr>
      <w:r>
        <w:t>Date</w:t>
      </w:r>
    </w:p>
    <w:p w:rsidR="002826FE" w:rsidRDefault="002826FE" w:rsidP="00A52AE9">
      <w:pPr>
        <w:jc w:val="center"/>
      </w:pPr>
    </w:p>
    <w:p w:rsidR="002826FE" w:rsidRDefault="002826FE" w:rsidP="00A52AE9">
      <w:pPr>
        <w:jc w:val="center"/>
      </w:pPr>
    </w:p>
    <w:p w:rsidR="002826FE" w:rsidRDefault="002826FE" w:rsidP="00A52AE9">
      <w:pPr>
        <w:jc w:val="center"/>
      </w:pPr>
    </w:p>
    <w:p w:rsidR="002826FE" w:rsidRDefault="002826FE" w:rsidP="00A52AE9">
      <w:pPr>
        <w:jc w:val="center"/>
      </w:pPr>
    </w:p>
    <w:p w:rsidR="002826FE" w:rsidRDefault="002826FE" w:rsidP="00A52AE9">
      <w:pPr>
        <w:jc w:val="center"/>
      </w:pPr>
    </w:p>
    <w:p w:rsidR="002826FE" w:rsidRDefault="002826FE" w:rsidP="00A52AE9">
      <w:pPr>
        <w:jc w:val="center"/>
      </w:pPr>
    </w:p>
    <w:p w:rsidR="00A52AE9" w:rsidRDefault="00A52AE9" w:rsidP="00A52AE9">
      <w:pPr>
        <w:jc w:val="center"/>
      </w:pPr>
      <w:r>
        <w:lastRenderedPageBreak/>
        <w:t>Wound Pattern Analysis</w:t>
      </w:r>
    </w:p>
    <w:p w:rsidR="00A47BDB" w:rsidRPr="00A47BDB" w:rsidRDefault="00A47BDB" w:rsidP="00A47BDB">
      <w:pPr>
        <w:ind w:firstLine="720"/>
        <w:jc w:val="center"/>
        <w:rPr>
          <w:b/>
        </w:rPr>
      </w:pPr>
      <w:r w:rsidRPr="00A47BDB">
        <w:rPr>
          <w:b/>
        </w:rPr>
        <w:t>Introduction.</w:t>
      </w:r>
    </w:p>
    <w:p w:rsidR="00A47BDB" w:rsidRDefault="00A47BDB" w:rsidP="00A47BDB">
      <w:pPr>
        <w:ind w:firstLine="720"/>
      </w:pPr>
      <w:r>
        <w:t xml:space="preserve">According to forensics, wounds result from physical assault and consequently resulting in the breakage of the natural development of the body tissues in the living body (West, 1996). Mechanical injuries are classified into three types: blunt force injury, sharp force injury, and firearms injury. Blunt force injury results from blunt instruments and is apparent on the skin. They include abrasions, lacerations and bruises or contusions. Sharp force injury results from stabbing or cutting of the skin with sharp instruments. They include incised/cut injury and penetrating injury/puncture/stab. Firearms injury is easy to identify and vary according to the angle of firing, muzzle velocity, distance or the part of the body concerned. West, (1996) states that "autopsy is very critical in criminal justice and forensics since it can reveal internal injuries which mostly result from asphyxiation and strangulation." The pattern of the wound is significant in psychologically profiling a serial killer. In this case, forensic experts analyze the wound patterns by determining the height of the victim and measuring the dimensions of the wounds. This paper evaluates the role that wound pattern analysis played in the development of the psychological profile in the case of John Wayne Gacy. </w:t>
      </w:r>
    </w:p>
    <w:p w:rsidR="00A47BDB" w:rsidRPr="00A47BDB" w:rsidRDefault="00A47BDB" w:rsidP="00A47BDB">
      <w:pPr>
        <w:ind w:firstLine="720"/>
        <w:jc w:val="center"/>
        <w:rPr>
          <w:b/>
        </w:rPr>
      </w:pPr>
      <w:r w:rsidRPr="00A47BDB">
        <w:rPr>
          <w:b/>
        </w:rPr>
        <w:t>Case Analysis.</w:t>
      </w:r>
    </w:p>
    <w:p w:rsidR="00A47BDB" w:rsidRDefault="00A47BDB" w:rsidP="00A47BDB">
      <w:pPr>
        <w:ind w:firstLine="720"/>
      </w:pPr>
      <w:r>
        <w:t xml:space="preserve">Anderson (1994), states that "John Wayne otherwise referred as Killer Clown was a chronic serial murderer from Chicago, Illinois in the 1970s and he was convicted and executed by lethal injection for raping and killing 33 young men". His first recorded murder was in 1975 when John Butkovitch, a 17-year-old, who was his employee, came to request for his money. Gary raped him and murdered him by strangulation (Anderson, 1994). In 1976, John Wayne </w:t>
      </w:r>
      <w:r>
        <w:lastRenderedPageBreak/>
        <w:t>Gacy started to rape and kill young men exponentially which was furthered by his wife's divorce.  He sourced his victims from his work sites and abducted others from bus stops and streets.</w:t>
      </w:r>
    </w:p>
    <w:p w:rsidR="00A47BDB" w:rsidRDefault="00A47BDB" w:rsidP="00A47BDB">
      <w:pPr>
        <w:ind w:firstLine="720"/>
      </w:pPr>
      <w:r>
        <w:t>The main problem that faced the criminal justice system in relation to the missing young men was that after killing his subjects through strangulation, John Wayne Gacy buried them underneath his house or around his garage (Damond, 2015). His neighbors were alarmed that something strange was going on after he was seen digging his yard and carrying trash bags; however, because of John Wayne Gacy's positive reputation and active involvement with the community, the neighbors could not suspect as the murderer of the young boys, and thus they did not report him to the authorities. Lester&amp; White (2011), assert that "John Wayne Gacy had employed two workers, David Cram and Michael Rossi who had the instructions to spread lime around the house as well as around the garage." The lime served to mitigate the smell from spreading.</w:t>
      </w:r>
    </w:p>
    <w:p w:rsidR="00A47BDB" w:rsidRDefault="00A47BDB" w:rsidP="00A47BDB">
      <w:pPr>
        <w:ind w:firstLine="720"/>
      </w:pPr>
      <w:r>
        <w:t xml:space="preserve">The whereabouts of the missing young men were unknown until 1978 when Robert Priest, 15-year-old, went missing. A pharmacist description of Gacy as the man who had promised to offer Priest some work gave the police a clue on the missing young boys. After checking Gacy's criminal record, police discovered he had been in jail for about 18 months on molestation accusations (Anderson, 1994). After a thorough search in his house, there were remains of decayed corpses underneath the floorboards.  After analyses of the corpses, the forensic scientists discovered some wounds which were important in the development of the psychological profile of John Wayne Gacy.Some victims had acute injuries resulting from stabbing. However, the forensics noted that most of Gacy's murders were done either through strangulation or asphyxiation with the help of an improvised tourniquet. In her book, “Thinking Outside the Crime and Box”, Diane Diamond asserted that, "all the bodies discovered from the </w:t>
      </w:r>
      <w:r>
        <w:lastRenderedPageBreak/>
        <w:t>crawl space had similar and unique wound patterns" (Damond, 2015). The analysis of the wound patterns by the forensics as well as the help of anthropologists was critical in identifying the actual bodies.</w:t>
      </w:r>
    </w:p>
    <w:p w:rsidR="00A47BDB" w:rsidRDefault="00A47BDB" w:rsidP="00A47BDB">
      <w:pPr>
        <w:ind w:firstLine="720"/>
      </w:pPr>
      <w:r>
        <w:t xml:space="preserve">Lester &amp; White (2011) acknowledges that "Gacy's modus operandi and the location of murder were the important aspects in the identification of his victims." Despite the fact that his last murder was in 1978, his last victim was discovered four decades later. On July 23, 2018, the Department and the National Center for Missing and Exploited Children identified two of John Wayne Gacy's victims through facial reconstructions (Lester &amp; White, 2011). The researchers discovered remains in a crawl space in his house and matched them to John Wayne mode of killing. </w:t>
      </w:r>
    </w:p>
    <w:p w:rsidR="00A47BDB" w:rsidRPr="00A47BDB" w:rsidRDefault="00A47BDB" w:rsidP="00A47BDB">
      <w:pPr>
        <w:ind w:firstLine="720"/>
        <w:jc w:val="center"/>
        <w:rPr>
          <w:b/>
        </w:rPr>
      </w:pPr>
      <w:r w:rsidRPr="00A47BDB">
        <w:rPr>
          <w:b/>
        </w:rPr>
        <w:t>Conclusion.</w:t>
      </w:r>
    </w:p>
    <w:p w:rsidR="002826FE" w:rsidRDefault="00A47BDB" w:rsidP="00A47BDB">
      <w:pPr>
        <w:ind w:firstLine="720"/>
      </w:pPr>
      <w:r>
        <w:t>In conclusion, despite the fact that the police apprehended John Wayne Gacy, the wound pattern analysis served a great purpose of identifying his victims. Most of John Wayne murders were accomplished through strangulation and asphyxiation. Injuries on the neck found on the neck bones of the victims were a clear indication that he employed a makeshift tourniquet. Moreover, some of the bodies discovered underneath the floorboards had acute injuries from the stab.  Therefore, the wound patterns were critical in the development of the psychological profile of John Wayne Gacy.</w:t>
      </w:r>
    </w:p>
    <w:p w:rsidR="009F3E38" w:rsidRDefault="009F3E38" w:rsidP="009F3E38">
      <w:pPr>
        <w:ind w:firstLine="720"/>
      </w:pPr>
    </w:p>
    <w:p w:rsidR="009F3E38" w:rsidRDefault="009F3E38" w:rsidP="009F3E38">
      <w:pPr>
        <w:ind w:firstLine="720"/>
      </w:pPr>
    </w:p>
    <w:p w:rsidR="002826FE" w:rsidRDefault="002826FE" w:rsidP="002826FE">
      <w:pPr>
        <w:jc w:val="center"/>
      </w:pPr>
    </w:p>
    <w:p w:rsidR="00A52AE9" w:rsidRDefault="00A52AE9" w:rsidP="002826FE">
      <w:pPr>
        <w:jc w:val="center"/>
      </w:pPr>
      <w:r>
        <w:lastRenderedPageBreak/>
        <w:t>References</w:t>
      </w:r>
    </w:p>
    <w:p w:rsidR="00A52AE9" w:rsidRDefault="003E47A6" w:rsidP="00A52AE9">
      <w:pPr>
        <w:pStyle w:val="Bibliography"/>
        <w:ind w:left="720" w:hanging="720"/>
        <w:rPr>
          <w:noProof/>
        </w:rPr>
      </w:pPr>
      <w:r>
        <w:fldChar w:fldCharType="begin"/>
      </w:r>
      <w:r w:rsidR="00A52AE9">
        <w:instrText xml:space="preserve"> BIBLIOGRAPHY  \l 1033 </w:instrText>
      </w:r>
      <w:r>
        <w:fldChar w:fldCharType="separate"/>
      </w:r>
      <w:r w:rsidR="00A52AE9">
        <w:rPr>
          <w:noProof/>
        </w:rPr>
        <w:t xml:space="preserve">Anderson, K. (1994). The Legal Legacy of John Wayne Gacy: The Irrebuttable Presumption That Jury Understand and Follow Jury Instructions. </w:t>
      </w:r>
      <w:r w:rsidR="00A52AE9">
        <w:rPr>
          <w:i/>
          <w:iCs/>
          <w:noProof/>
        </w:rPr>
        <w:t>HeinOnline</w:t>
      </w:r>
      <w:r w:rsidR="00A52AE9">
        <w:rPr>
          <w:noProof/>
        </w:rPr>
        <w:t>.</w:t>
      </w:r>
    </w:p>
    <w:p w:rsidR="00A52AE9" w:rsidRDefault="00A52AE9" w:rsidP="00A52AE9">
      <w:pPr>
        <w:pStyle w:val="Bibliography"/>
        <w:ind w:left="720" w:hanging="720"/>
        <w:rPr>
          <w:noProof/>
        </w:rPr>
      </w:pPr>
      <w:r>
        <w:rPr>
          <w:noProof/>
        </w:rPr>
        <w:t xml:space="preserve">Damond, D. (2015). </w:t>
      </w:r>
      <w:r>
        <w:rPr>
          <w:i/>
          <w:iCs/>
          <w:noProof/>
        </w:rPr>
        <w:t>Thinking Outside the Crime and Justice Box.</w:t>
      </w:r>
      <w:r>
        <w:rPr>
          <w:noProof/>
        </w:rPr>
        <w:t xml:space="preserve"> </w:t>
      </w:r>
    </w:p>
    <w:p w:rsidR="00A52AE9" w:rsidRDefault="00A52AE9" w:rsidP="00A52AE9">
      <w:pPr>
        <w:pStyle w:val="Bibliography"/>
        <w:ind w:left="720" w:hanging="720"/>
        <w:rPr>
          <w:noProof/>
        </w:rPr>
      </w:pPr>
      <w:r>
        <w:rPr>
          <w:noProof/>
        </w:rPr>
        <w:t xml:space="preserve">Lester &amp; White, J. (2011). The Utilization of forensic science and criminal profiling for capturing serial criminals. </w:t>
      </w:r>
      <w:r>
        <w:rPr>
          <w:i/>
          <w:iCs/>
          <w:noProof/>
        </w:rPr>
        <w:t>Elsevier: Forensic Science</w:t>
      </w:r>
      <w:r>
        <w:rPr>
          <w:noProof/>
        </w:rPr>
        <w:t>, 9-11.</w:t>
      </w:r>
    </w:p>
    <w:p w:rsidR="00A52AE9" w:rsidRDefault="00A47BDB" w:rsidP="00A52AE9">
      <w:pPr>
        <w:pStyle w:val="Bibliography"/>
        <w:ind w:left="720" w:hanging="720"/>
        <w:rPr>
          <w:noProof/>
        </w:rPr>
      </w:pPr>
      <w:r>
        <w:rPr>
          <w:noProof/>
        </w:rPr>
        <w:t>West, H. M. (1996). W</w:t>
      </w:r>
      <w:r w:rsidR="00A52AE9">
        <w:rPr>
          <w:noProof/>
        </w:rPr>
        <w:t xml:space="preserve">ound Patterns: Detection, Documentation and Analysis. </w:t>
      </w:r>
      <w:r w:rsidR="00A52AE9">
        <w:rPr>
          <w:i/>
          <w:iCs/>
          <w:noProof/>
        </w:rPr>
        <w:t>Journal of Clinical Forensic Medicine</w:t>
      </w:r>
      <w:r w:rsidR="00A52AE9">
        <w:rPr>
          <w:noProof/>
        </w:rPr>
        <w:t>, 21-27.</w:t>
      </w:r>
    </w:p>
    <w:p w:rsidR="00A52AE9" w:rsidRDefault="003E47A6" w:rsidP="00A52AE9">
      <w:pPr>
        <w:ind w:hanging="720"/>
      </w:pPr>
      <w:r>
        <w:fldChar w:fldCharType="end"/>
      </w:r>
    </w:p>
    <w:p w:rsidR="0022019F" w:rsidRDefault="0022019F"/>
    <w:p w:rsidR="0022019F" w:rsidRDefault="0022019F"/>
    <w:p w:rsidR="0022019F" w:rsidRDefault="0022019F"/>
    <w:p w:rsidR="0022019F" w:rsidRDefault="0022019F"/>
    <w:p w:rsidR="0022019F" w:rsidRDefault="0022019F"/>
    <w:p w:rsidR="0022019F" w:rsidRDefault="0022019F"/>
    <w:p w:rsidR="0022019F" w:rsidRDefault="0022019F"/>
    <w:p w:rsidR="0022019F" w:rsidRDefault="0022019F"/>
    <w:sectPr w:rsidR="0022019F" w:rsidSect="002201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48E" w:rsidRDefault="00F9048E" w:rsidP="0022019F">
      <w:pPr>
        <w:spacing w:after="0" w:line="240" w:lineRule="auto"/>
      </w:pPr>
      <w:r>
        <w:separator/>
      </w:r>
    </w:p>
  </w:endnote>
  <w:endnote w:type="continuationSeparator" w:id="1">
    <w:p w:rsidR="00F9048E" w:rsidRDefault="00F9048E" w:rsidP="002201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48E" w:rsidRDefault="00F9048E" w:rsidP="0022019F">
      <w:pPr>
        <w:spacing w:after="0" w:line="240" w:lineRule="auto"/>
      </w:pPr>
      <w:r>
        <w:separator/>
      </w:r>
    </w:p>
  </w:footnote>
  <w:footnote w:type="continuationSeparator" w:id="1">
    <w:p w:rsidR="00F9048E" w:rsidRDefault="00F9048E" w:rsidP="002201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236" w:rsidRDefault="00715236">
    <w:pPr>
      <w:pStyle w:val="Header"/>
      <w:jc w:val="right"/>
    </w:pPr>
    <w:r>
      <w:t xml:space="preserve">WOUND PATTERN ANALYSIS                                                                                                  </w:t>
    </w:r>
    <w:sdt>
      <w:sdtPr>
        <w:id w:val="9812829"/>
        <w:docPartObj>
          <w:docPartGallery w:val="Page Numbers (Top of Page)"/>
          <w:docPartUnique/>
        </w:docPartObj>
      </w:sdtPr>
      <w:sdtContent>
        <w:fldSimple w:instr=" PAGE   \* MERGEFORMAT ">
          <w:r w:rsidR="00D73FA7">
            <w:rPr>
              <w:noProof/>
            </w:rPr>
            <w:t>5</w:t>
          </w:r>
        </w:fldSimple>
      </w:sdtContent>
    </w:sdt>
  </w:p>
  <w:p w:rsidR="00715236" w:rsidRDefault="0071523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236" w:rsidRDefault="00715236">
    <w:pPr>
      <w:pStyle w:val="Header"/>
      <w:jc w:val="right"/>
    </w:pPr>
    <w:r>
      <w:t xml:space="preserve">Running head: WOUND PATTERN ANALYSIS                                                                          </w:t>
    </w:r>
    <w:sdt>
      <w:sdtPr>
        <w:id w:val="9812594"/>
        <w:docPartObj>
          <w:docPartGallery w:val="Page Numbers (Top of Page)"/>
          <w:docPartUnique/>
        </w:docPartObj>
      </w:sdtPr>
      <w:sdtContent>
        <w:fldSimple w:instr=" PAGE   \* MERGEFORMAT ">
          <w:r w:rsidR="00D73FA7">
            <w:rPr>
              <w:noProof/>
            </w:rPr>
            <w:t>1</w:t>
          </w:r>
        </w:fldSimple>
      </w:sdtContent>
    </w:sdt>
  </w:p>
  <w:p w:rsidR="00715236" w:rsidRDefault="0071523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2019F"/>
    <w:rsid w:val="0005376D"/>
    <w:rsid w:val="000A1C22"/>
    <w:rsid w:val="000C67BB"/>
    <w:rsid w:val="001035A8"/>
    <w:rsid w:val="00115A9C"/>
    <w:rsid w:val="00173DE2"/>
    <w:rsid w:val="001A6AD8"/>
    <w:rsid w:val="0022019F"/>
    <w:rsid w:val="00264891"/>
    <w:rsid w:val="00266243"/>
    <w:rsid w:val="002826FE"/>
    <w:rsid w:val="002E7F31"/>
    <w:rsid w:val="003256FD"/>
    <w:rsid w:val="003938A6"/>
    <w:rsid w:val="003A3CE0"/>
    <w:rsid w:val="003E47A6"/>
    <w:rsid w:val="003F5925"/>
    <w:rsid w:val="004442EE"/>
    <w:rsid w:val="004A6F7C"/>
    <w:rsid w:val="004B1253"/>
    <w:rsid w:val="004F7ACE"/>
    <w:rsid w:val="006E4FB8"/>
    <w:rsid w:val="00715236"/>
    <w:rsid w:val="00752100"/>
    <w:rsid w:val="007954AD"/>
    <w:rsid w:val="00847415"/>
    <w:rsid w:val="00956565"/>
    <w:rsid w:val="0097287D"/>
    <w:rsid w:val="00994E35"/>
    <w:rsid w:val="009F3E38"/>
    <w:rsid w:val="00A47BDB"/>
    <w:rsid w:val="00A52AE9"/>
    <w:rsid w:val="00A95518"/>
    <w:rsid w:val="00AB2E72"/>
    <w:rsid w:val="00B47EA0"/>
    <w:rsid w:val="00B90C2B"/>
    <w:rsid w:val="00CD1E65"/>
    <w:rsid w:val="00D651C4"/>
    <w:rsid w:val="00D73FA7"/>
    <w:rsid w:val="00E61D79"/>
    <w:rsid w:val="00F03DC0"/>
    <w:rsid w:val="00F433F2"/>
    <w:rsid w:val="00F9048E"/>
    <w:rsid w:val="00FD3E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19F"/>
  </w:style>
  <w:style w:type="paragraph" w:styleId="Footer">
    <w:name w:val="footer"/>
    <w:basedOn w:val="Normal"/>
    <w:link w:val="FooterChar"/>
    <w:uiPriority w:val="99"/>
    <w:semiHidden/>
    <w:unhideWhenUsed/>
    <w:rsid w:val="0022019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019F"/>
  </w:style>
  <w:style w:type="paragraph" w:styleId="BalloonText">
    <w:name w:val="Balloon Text"/>
    <w:basedOn w:val="Normal"/>
    <w:link w:val="BalloonTextChar"/>
    <w:uiPriority w:val="99"/>
    <w:semiHidden/>
    <w:unhideWhenUsed/>
    <w:rsid w:val="002201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019F"/>
    <w:rPr>
      <w:rFonts w:ascii="Tahoma" w:hAnsi="Tahoma" w:cs="Tahoma"/>
      <w:sz w:val="16"/>
      <w:szCs w:val="16"/>
    </w:rPr>
  </w:style>
  <w:style w:type="paragraph" w:styleId="Bibliography">
    <w:name w:val="Bibliography"/>
    <w:basedOn w:val="Normal"/>
    <w:next w:val="Normal"/>
    <w:uiPriority w:val="37"/>
    <w:unhideWhenUsed/>
    <w:rsid w:val="00A52AE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Wes96</b:Tag>
    <b:SourceType>JournalArticle</b:SourceType>
    <b:Guid>{F91D4FBB-C1D4-4CF3-A086-E2C63803C299}</b:Guid>
    <b:LCID>0</b:LCID>
    <b:Author>
      <b:Author>
        <b:NameList>
          <b:Person>
            <b:Last>West</b:Last>
            <b:First>H</b:First>
            <b:Middle>M.</b:Middle>
          </b:Person>
        </b:NameList>
      </b:Author>
    </b:Author>
    <b:Title>wound Patterns: Detection, Documentation and Analysis</b:Title>
    <b:JournalName>Journal of Clinical Forensic Medicine</b:JournalName>
    <b:Year>1996</b:Year>
    <b:Pages>21-27</b:Pages>
    <b:RefOrder>1</b:RefOrder>
  </b:Source>
  <b:Source>
    <b:Tag>Les11</b:Tag>
    <b:SourceType>JournalArticle</b:SourceType>
    <b:Guid>{8DFE880D-A65D-4C12-97C5-57343FFD4EBC}</b:Guid>
    <b:LCID>0</b:LCID>
    <b:Author>
      <b:Author>
        <b:NameList>
          <b:Person>
            <b:Last>Lester &amp; White</b:Last>
            <b:First>J.</b:First>
          </b:Person>
        </b:NameList>
      </b:Author>
    </b:Author>
    <b:Title>The Utilization of forensic science and criminal profiling for capturing serial criminals</b:Title>
    <b:JournalName>Elsevier: Forensic Science</b:JournalName>
    <b:Year>2011</b:Year>
    <b:Pages>9-11</b:Pages>
    <b:RefOrder>4</b:RefOrder>
  </b:Source>
  <b:Source>
    <b:Tag>And94</b:Tag>
    <b:SourceType>JournalArticle</b:SourceType>
    <b:Guid>{8E56AAC1-837D-4757-9F6D-3577BB99AD1C}</b:Guid>
    <b:LCID>0</b:LCID>
    <b:Author>
      <b:Author>
        <b:NameList>
          <b:Person>
            <b:Last>Anderson</b:Last>
            <b:First>K.</b:First>
          </b:Person>
        </b:NameList>
      </b:Author>
    </b:Author>
    <b:Title>The Legal Legacy of John Wayne Gacy: The Irrebuttable Presumption That Jury Understand and Follow Jury Instructions</b:Title>
    <b:JournalName>HeinOnline</b:JournalName>
    <b:Year>1994</b:Year>
    <b:RefOrder>2</b:RefOrder>
  </b:Source>
  <b:Source>
    <b:Tag>Dam15</b:Tag>
    <b:SourceType>Book</b:SourceType>
    <b:Guid>{F9741FF0-91FE-4903-896A-AD14B3F842F0}</b:Guid>
    <b:LCID>0</b:LCID>
    <b:Author>
      <b:Author>
        <b:NameList>
          <b:Person>
            <b:Last>Damond</b:Last>
            <b:First>D.</b:First>
          </b:Person>
        </b:NameList>
      </b:Author>
    </b:Author>
    <b:Title>Thinking Outside the Crime and Justice Box</b:Title>
    <b:Year>2015</b:Year>
    <b:RefOrder>3</b:RefOrder>
  </b:Source>
</b:Sources>
</file>

<file path=customXml/itemProps1.xml><?xml version="1.0" encoding="utf-8"?>
<ds:datastoreItem xmlns:ds="http://schemas.openxmlformats.org/officeDocument/2006/customXml" ds:itemID="{E23CE9E4-DDBF-4F7A-B80D-55639BDC2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2019-03-21T15:42:00Z</dcterms:created>
  <dcterms:modified xsi:type="dcterms:W3CDTF">2019-03-21T15:42:00Z</dcterms:modified>
</cp:coreProperties>
</file>